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03" w:rsidRDefault="00E82C03" w:rsidP="00E82C03">
      <w:pPr>
        <w:pStyle w:val="bwalignc"/>
        <w:rPr>
          <w:rFonts w:ascii="Arial" w:hAnsi="Arial" w:cs="Arial"/>
          <w:color w:val="07286B"/>
          <w:sz w:val="17"/>
          <w:szCs w:val="17"/>
        </w:rPr>
      </w:pPr>
      <w:proofErr w:type="spellStart"/>
      <w:r>
        <w:rPr>
          <w:rFonts w:ascii="Arial" w:hAnsi="Arial" w:cs="Arial"/>
          <w:b/>
          <w:bCs/>
          <w:color w:val="07286B"/>
          <w:sz w:val="17"/>
          <w:szCs w:val="17"/>
        </w:rPr>
        <w:t>Alstom</w:t>
      </w:r>
      <w:proofErr w:type="spellEnd"/>
      <w:r>
        <w:rPr>
          <w:rFonts w:ascii="Arial" w:hAnsi="Arial" w:cs="Arial"/>
          <w:b/>
          <w:bCs/>
          <w:color w:val="07286B"/>
          <w:sz w:val="17"/>
          <w:szCs w:val="17"/>
        </w:rPr>
        <w:t xml:space="preserve"> devient actionnaire de </w:t>
      </w:r>
      <w:proofErr w:type="spellStart"/>
      <w:r>
        <w:rPr>
          <w:rFonts w:ascii="Arial" w:hAnsi="Arial" w:cs="Arial"/>
          <w:b/>
          <w:bCs/>
          <w:color w:val="07286B"/>
          <w:sz w:val="17"/>
          <w:szCs w:val="17"/>
        </w:rPr>
        <w:t>Transmashholding</w:t>
      </w:r>
      <w:proofErr w:type="spellEnd"/>
      <w:r>
        <w:rPr>
          <w:rFonts w:ascii="Arial" w:hAnsi="Arial" w:cs="Arial"/>
          <w:b/>
          <w:bCs/>
          <w:color w:val="07286B"/>
          <w:sz w:val="17"/>
          <w:szCs w:val="17"/>
        </w:rPr>
        <w:t xml:space="preserve"> et entre au conseil d'administration de l'entreprise russe</w:t>
      </w:r>
      <w:r>
        <w:rPr>
          <w:rFonts w:ascii="Arial" w:hAnsi="Arial" w:cs="Arial"/>
          <w:color w:val="07286B"/>
          <w:sz w:val="17"/>
          <w:szCs w:val="17"/>
        </w:rPr>
        <w:t xml:space="preserve"> </w:t>
      </w:r>
    </w:p>
    <w:p w:rsidR="00E82C03" w:rsidRDefault="00E82C03" w:rsidP="00E82C03">
      <w:pPr>
        <w:pStyle w:val="NormalWeb"/>
        <w:rPr>
          <w:rFonts w:ascii="Arial" w:hAnsi="Arial" w:cs="Arial"/>
          <w:color w:val="07286B"/>
          <w:sz w:val="17"/>
          <w:szCs w:val="17"/>
        </w:rPr>
      </w:pPr>
      <w:proofErr w:type="spellStart"/>
      <w:r>
        <w:rPr>
          <w:rFonts w:ascii="Arial" w:hAnsi="Arial" w:cs="Arial"/>
          <w:color w:val="07286B"/>
          <w:sz w:val="17"/>
          <w:szCs w:val="17"/>
        </w:rPr>
        <w:t>Regulatory</w:t>
      </w:r>
      <w:proofErr w:type="spellEnd"/>
      <w:r>
        <w:rPr>
          <w:rFonts w:ascii="Arial" w:hAnsi="Arial" w:cs="Arial"/>
          <w:color w:val="07286B"/>
          <w:sz w:val="17"/>
          <w:szCs w:val="17"/>
        </w:rPr>
        <w:t xml:space="preserve"> News: </w:t>
      </w:r>
    </w:p>
    <w:p w:rsidR="00E82C03" w:rsidRDefault="00E82C03" w:rsidP="00E82C03">
      <w:pPr>
        <w:pStyle w:val="NormalWeb"/>
        <w:rPr>
          <w:rFonts w:ascii="Arial" w:hAnsi="Arial" w:cs="Arial"/>
          <w:color w:val="07286B"/>
          <w:sz w:val="17"/>
          <w:szCs w:val="17"/>
        </w:rPr>
      </w:pPr>
      <w:proofErr w:type="spellStart"/>
      <w:r>
        <w:rPr>
          <w:rFonts w:ascii="Arial" w:hAnsi="Arial" w:cs="Arial"/>
          <w:color w:val="07286B"/>
          <w:sz w:val="17"/>
          <w:szCs w:val="17"/>
        </w:rPr>
        <w:t>Alstom</w:t>
      </w:r>
      <w:proofErr w:type="spellEnd"/>
      <w:r>
        <w:rPr>
          <w:rFonts w:ascii="Arial" w:hAnsi="Arial" w:cs="Arial"/>
          <w:color w:val="07286B"/>
          <w:sz w:val="17"/>
          <w:szCs w:val="17"/>
        </w:rPr>
        <w:t xml:space="preserve"> (</w:t>
      </w:r>
      <w:proofErr w:type="spellStart"/>
      <w:r>
        <w:rPr>
          <w:rFonts w:ascii="Arial" w:hAnsi="Arial" w:cs="Arial"/>
          <w:color w:val="07286B"/>
          <w:sz w:val="17"/>
          <w:szCs w:val="17"/>
        </w:rPr>
        <w:t>Paris:ALO</w:t>
      </w:r>
      <w:proofErr w:type="spellEnd"/>
      <w:r>
        <w:rPr>
          <w:rFonts w:ascii="Arial" w:hAnsi="Arial" w:cs="Arial"/>
          <w:color w:val="07286B"/>
          <w:sz w:val="17"/>
          <w:szCs w:val="17"/>
        </w:rPr>
        <w:t xml:space="preserve">) a finalisé son accord de partenariat avec </w:t>
      </w:r>
      <w:proofErr w:type="spellStart"/>
      <w:r>
        <w:rPr>
          <w:rFonts w:ascii="Arial" w:hAnsi="Arial" w:cs="Arial"/>
          <w:color w:val="07286B"/>
          <w:sz w:val="17"/>
          <w:szCs w:val="17"/>
        </w:rPr>
        <w:t>Transmashholding</w:t>
      </w:r>
      <w:proofErr w:type="spellEnd"/>
      <w:r>
        <w:rPr>
          <w:rFonts w:ascii="Arial" w:hAnsi="Arial" w:cs="Arial"/>
          <w:color w:val="07286B"/>
          <w:sz w:val="17"/>
          <w:szCs w:val="17"/>
        </w:rPr>
        <w:t xml:space="preserve"> en acquérant une participation de 25% (plus une action) dans le capital de TMH, principal constructeur ferroviaire russe. La transaction a été conclue après qu'</w:t>
      </w:r>
      <w:proofErr w:type="spellStart"/>
      <w:r>
        <w:rPr>
          <w:rFonts w:ascii="Arial" w:hAnsi="Arial" w:cs="Arial"/>
          <w:color w:val="07286B"/>
          <w:sz w:val="17"/>
          <w:szCs w:val="17"/>
        </w:rPr>
        <w:t>Alstom</w:t>
      </w:r>
      <w:proofErr w:type="spellEnd"/>
      <w:r>
        <w:rPr>
          <w:rFonts w:ascii="Arial" w:hAnsi="Arial" w:cs="Arial"/>
          <w:color w:val="07286B"/>
          <w:sz w:val="17"/>
          <w:szCs w:val="17"/>
        </w:rPr>
        <w:t xml:space="preserve"> ait obtenu l'accord des autorités russes compétentes. Les autorités européennes, ukrainiennes et kazakhes, le service fédéral anti-monopole de Russie et la commission gouvernementale pour les investissements étrangers avaient précédemment rendu un avis favorable sur l'opération. </w:t>
      </w:r>
    </w:p>
    <w:p w:rsidR="00E82C03" w:rsidRDefault="00E82C03" w:rsidP="00E82C03">
      <w:pPr>
        <w:pStyle w:val="NormalWeb"/>
        <w:rPr>
          <w:rFonts w:ascii="Arial" w:hAnsi="Arial" w:cs="Arial"/>
          <w:color w:val="07286B"/>
          <w:sz w:val="17"/>
          <w:szCs w:val="17"/>
        </w:rPr>
      </w:pPr>
      <w:r>
        <w:rPr>
          <w:rFonts w:ascii="Arial" w:hAnsi="Arial" w:cs="Arial"/>
          <w:color w:val="07286B"/>
          <w:sz w:val="17"/>
          <w:szCs w:val="17"/>
        </w:rPr>
        <w:t xml:space="preserve">Le transfert des titres a été réalisé le 27 mai au siège de la maison-mère de </w:t>
      </w:r>
      <w:proofErr w:type="spellStart"/>
      <w:r>
        <w:rPr>
          <w:rFonts w:ascii="Arial" w:hAnsi="Arial" w:cs="Arial"/>
          <w:color w:val="07286B"/>
          <w:sz w:val="17"/>
          <w:szCs w:val="17"/>
        </w:rPr>
        <w:t>Transmashholding</w:t>
      </w:r>
      <w:proofErr w:type="spellEnd"/>
      <w:r>
        <w:rPr>
          <w:rFonts w:ascii="Arial" w:hAnsi="Arial" w:cs="Arial"/>
          <w:color w:val="07286B"/>
          <w:sz w:val="17"/>
          <w:szCs w:val="17"/>
        </w:rPr>
        <w:t xml:space="preserve">, The </w:t>
      </w:r>
      <w:proofErr w:type="spellStart"/>
      <w:r>
        <w:rPr>
          <w:rFonts w:ascii="Arial" w:hAnsi="Arial" w:cs="Arial"/>
          <w:color w:val="07286B"/>
          <w:sz w:val="17"/>
          <w:szCs w:val="17"/>
        </w:rPr>
        <w:t>Breakers</w:t>
      </w:r>
      <w:proofErr w:type="spellEnd"/>
      <w:r>
        <w:rPr>
          <w:rFonts w:ascii="Arial" w:hAnsi="Arial" w:cs="Arial"/>
          <w:color w:val="07286B"/>
          <w:sz w:val="17"/>
          <w:szCs w:val="17"/>
        </w:rPr>
        <w:t xml:space="preserve"> </w:t>
      </w:r>
      <w:proofErr w:type="spellStart"/>
      <w:r>
        <w:rPr>
          <w:rFonts w:ascii="Arial" w:hAnsi="Arial" w:cs="Arial"/>
          <w:color w:val="07286B"/>
          <w:sz w:val="17"/>
          <w:szCs w:val="17"/>
        </w:rPr>
        <w:t>Investment</w:t>
      </w:r>
      <w:proofErr w:type="spellEnd"/>
      <w:r>
        <w:rPr>
          <w:rFonts w:ascii="Arial" w:hAnsi="Arial" w:cs="Arial"/>
          <w:color w:val="07286B"/>
          <w:sz w:val="17"/>
          <w:szCs w:val="17"/>
        </w:rPr>
        <w:t xml:space="preserve"> BV, à Amsterdam (Pays-Bas). </w:t>
      </w:r>
      <w:proofErr w:type="spellStart"/>
      <w:r>
        <w:rPr>
          <w:rFonts w:ascii="Arial" w:hAnsi="Arial" w:cs="Arial"/>
          <w:color w:val="07286B"/>
          <w:sz w:val="17"/>
          <w:szCs w:val="17"/>
        </w:rPr>
        <w:t>Alstom</w:t>
      </w:r>
      <w:proofErr w:type="spellEnd"/>
      <w:r>
        <w:rPr>
          <w:rFonts w:ascii="Arial" w:hAnsi="Arial" w:cs="Arial"/>
          <w:color w:val="07286B"/>
          <w:sz w:val="17"/>
          <w:szCs w:val="17"/>
        </w:rPr>
        <w:t xml:space="preserve"> a effectué un premier versement de 75 millions de dollars (environ 53 millions d'euros) aux actionnaires vendeurs. Le reliquat des versements sera calculé en fonction d'une formule agréée par les deux parties et basée sur les résultats opérationnels de TMH sur 4 ans (2008-2011). L'accord donne à </w:t>
      </w:r>
      <w:proofErr w:type="spellStart"/>
      <w:r>
        <w:rPr>
          <w:rFonts w:ascii="Arial" w:hAnsi="Arial" w:cs="Arial"/>
          <w:color w:val="07286B"/>
          <w:sz w:val="17"/>
          <w:szCs w:val="17"/>
        </w:rPr>
        <w:t>Alstom</w:t>
      </w:r>
      <w:proofErr w:type="spellEnd"/>
      <w:r>
        <w:rPr>
          <w:rFonts w:ascii="Arial" w:hAnsi="Arial" w:cs="Arial"/>
          <w:color w:val="07286B"/>
          <w:sz w:val="17"/>
          <w:szCs w:val="17"/>
        </w:rPr>
        <w:t xml:space="preserve"> deux sièges au conseil d'administration de TMH. </w:t>
      </w:r>
    </w:p>
    <w:p w:rsidR="00E82C03" w:rsidRDefault="00E82C03" w:rsidP="00E82C03">
      <w:pPr>
        <w:pStyle w:val="NormalWeb"/>
        <w:rPr>
          <w:rFonts w:ascii="Arial" w:hAnsi="Arial" w:cs="Arial"/>
          <w:color w:val="07286B"/>
          <w:sz w:val="17"/>
          <w:szCs w:val="17"/>
        </w:rPr>
      </w:pPr>
      <w:r>
        <w:rPr>
          <w:rFonts w:ascii="Arial" w:hAnsi="Arial" w:cs="Arial"/>
          <w:color w:val="07286B"/>
          <w:sz w:val="17"/>
          <w:szCs w:val="17"/>
        </w:rPr>
        <w:t>« </w:t>
      </w:r>
      <w:r>
        <w:rPr>
          <w:rFonts w:ascii="Arial" w:hAnsi="Arial" w:cs="Arial"/>
          <w:i/>
          <w:iCs/>
          <w:color w:val="07286B"/>
          <w:sz w:val="17"/>
          <w:szCs w:val="17"/>
        </w:rPr>
        <w:t>Cette signature consacre plusieurs années de rapprochement et de collaboration intensive entre nos deux entreprises</w:t>
      </w:r>
      <w:r>
        <w:rPr>
          <w:rFonts w:ascii="Arial" w:hAnsi="Arial" w:cs="Arial"/>
          <w:color w:val="07286B"/>
          <w:sz w:val="17"/>
          <w:szCs w:val="17"/>
        </w:rPr>
        <w:t> », a déclaré Patrick Kron, Président Directeur Général d'</w:t>
      </w:r>
      <w:proofErr w:type="spellStart"/>
      <w:r>
        <w:rPr>
          <w:rFonts w:ascii="Arial" w:hAnsi="Arial" w:cs="Arial"/>
          <w:color w:val="07286B"/>
          <w:sz w:val="17"/>
          <w:szCs w:val="17"/>
        </w:rPr>
        <w:t>Alstom</w:t>
      </w:r>
      <w:proofErr w:type="spellEnd"/>
      <w:r>
        <w:rPr>
          <w:rFonts w:ascii="Arial" w:hAnsi="Arial" w:cs="Arial"/>
          <w:color w:val="07286B"/>
          <w:sz w:val="17"/>
          <w:szCs w:val="17"/>
        </w:rPr>
        <w:t>. « </w:t>
      </w:r>
      <w:r>
        <w:rPr>
          <w:rFonts w:ascii="Arial" w:hAnsi="Arial" w:cs="Arial"/>
          <w:i/>
          <w:iCs/>
          <w:color w:val="07286B"/>
          <w:sz w:val="17"/>
          <w:szCs w:val="17"/>
        </w:rPr>
        <w:t xml:space="preserve">La Russie représente un marché prioritaire pour </w:t>
      </w:r>
      <w:proofErr w:type="spellStart"/>
      <w:r>
        <w:rPr>
          <w:rFonts w:ascii="Arial" w:hAnsi="Arial" w:cs="Arial"/>
          <w:i/>
          <w:iCs/>
          <w:color w:val="07286B"/>
          <w:sz w:val="17"/>
          <w:szCs w:val="17"/>
        </w:rPr>
        <w:t>Alstom</w:t>
      </w:r>
      <w:proofErr w:type="spellEnd"/>
      <w:r>
        <w:rPr>
          <w:rFonts w:ascii="Arial" w:hAnsi="Arial" w:cs="Arial"/>
          <w:i/>
          <w:iCs/>
          <w:color w:val="07286B"/>
          <w:sz w:val="17"/>
          <w:szCs w:val="17"/>
        </w:rPr>
        <w:t xml:space="preserve"> dans nos trois secteurs d'activité et nous sommes très fiers d'avoir été choisis par </w:t>
      </w:r>
      <w:proofErr w:type="spellStart"/>
      <w:r>
        <w:rPr>
          <w:rFonts w:ascii="Arial" w:hAnsi="Arial" w:cs="Arial"/>
          <w:i/>
          <w:iCs/>
          <w:color w:val="07286B"/>
          <w:sz w:val="17"/>
          <w:szCs w:val="17"/>
        </w:rPr>
        <w:t>Transmashholding</w:t>
      </w:r>
      <w:proofErr w:type="spellEnd"/>
      <w:r>
        <w:rPr>
          <w:rFonts w:ascii="Arial" w:hAnsi="Arial" w:cs="Arial"/>
          <w:i/>
          <w:iCs/>
          <w:color w:val="07286B"/>
          <w:sz w:val="17"/>
          <w:szCs w:val="17"/>
        </w:rPr>
        <w:t xml:space="preserve"> et ses actionnaires pour accompagner la modernisation du secteur ferroviaire russe »</w:t>
      </w:r>
      <w:r>
        <w:rPr>
          <w:rFonts w:ascii="Arial" w:hAnsi="Arial" w:cs="Arial"/>
          <w:color w:val="07286B"/>
          <w:sz w:val="17"/>
          <w:szCs w:val="17"/>
        </w:rPr>
        <w:t xml:space="preserve">, a-t-il ajouté. </w:t>
      </w:r>
    </w:p>
    <w:p w:rsidR="00E82C03" w:rsidRDefault="00E82C03" w:rsidP="00E82C03">
      <w:pPr>
        <w:pStyle w:val="NormalWeb"/>
        <w:rPr>
          <w:rFonts w:ascii="Arial" w:hAnsi="Arial" w:cs="Arial"/>
          <w:color w:val="07286B"/>
          <w:sz w:val="17"/>
          <w:szCs w:val="17"/>
        </w:rPr>
      </w:pPr>
      <w:proofErr w:type="spellStart"/>
      <w:r>
        <w:rPr>
          <w:rFonts w:ascii="Arial" w:hAnsi="Arial" w:cs="Arial"/>
          <w:color w:val="07286B"/>
          <w:sz w:val="17"/>
          <w:szCs w:val="17"/>
        </w:rPr>
        <w:t>Alstom</w:t>
      </w:r>
      <w:proofErr w:type="spellEnd"/>
      <w:r>
        <w:rPr>
          <w:rFonts w:ascii="Arial" w:hAnsi="Arial" w:cs="Arial"/>
          <w:color w:val="07286B"/>
          <w:sz w:val="17"/>
          <w:szCs w:val="17"/>
        </w:rPr>
        <w:t xml:space="preserve"> et </w:t>
      </w:r>
      <w:proofErr w:type="spellStart"/>
      <w:r>
        <w:rPr>
          <w:rFonts w:ascii="Arial" w:hAnsi="Arial" w:cs="Arial"/>
          <w:color w:val="07286B"/>
          <w:sz w:val="17"/>
          <w:szCs w:val="17"/>
        </w:rPr>
        <w:t>Transmashholding</w:t>
      </w:r>
      <w:proofErr w:type="spellEnd"/>
      <w:r>
        <w:rPr>
          <w:rFonts w:ascii="Arial" w:hAnsi="Arial" w:cs="Arial"/>
          <w:color w:val="07286B"/>
          <w:sz w:val="17"/>
          <w:szCs w:val="17"/>
        </w:rPr>
        <w:t xml:space="preserve"> se sont engagés dans un partenariat stratégique dès 2008 avec pour objectif de satisfaire les besoins en matériel roulant du marché ferroviaire 1520</w:t>
      </w:r>
      <w:r>
        <w:rPr>
          <w:rFonts w:ascii="Arial" w:hAnsi="Arial" w:cs="Arial"/>
          <w:color w:val="07286B"/>
          <w:sz w:val="17"/>
          <w:szCs w:val="17"/>
          <w:vertAlign w:val="superscript"/>
        </w:rPr>
        <w:t>1</w:t>
      </w:r>
      <w:r>
        <w:rPr>
          <w:rFonts w:ascii="Arial" w:hAnsi="Arial" w:cs="Arial"/>
          <w:color w:val="07286B"/>
          <w:sz w:val="17"/>
          <w:szCs w:val="17"/>
        </w:rPr>
        <w:t>.Dans le cadre de ce partenariat, les entreprises travaillent ensemble au développement de deux modèles de locomotives électriques : l'EP20, locomotive passagers bi-système et la 2ES5, locomotive de fret asynchrone pour grandes lignes. Ces locomotives, qui intègrent les dernières technologies d'</w:t>
      </w:r>
      <w:proofErr w:type="spellStart"/>
      <w:r>
        <w:rPr>
          <w:rFonts w:ascii="Arial" w:hAnsi="Arial" w:cs="Arial"/>
          <w:color w:val="07286B"/>
          <w:sz w:val="17"/>
          <w:szCs w:val="17"/>
        </w:rPr>
        <w:t>Alstom</w:t>
      </w:r>
      <w:proofErr w:type="spellEnd"/>
      <w:r>
        <w:rPr>
          <w:rFonts w:ascii="Arial" w:hAnsi="Arial" w:cs="Arial"/>
          <w:color w:val="07286B"/>
          <w:sz w:val="17"/>
          <w:szCs w:val="17"/>
        </w:rPr>
        <w:t>, sont conçues à Novotcherkassk au sein du centre d'ingénierie « </w:t>
      </w:r>
      <w:proofErr w:type="spellStart"/>
      <w:r>
        <w:rPr>
          <w:rFonts w:ascii="Arial" w:hAnsi="Arial" w:cs="Arial"/>
          <w:color w:val="07286B"/>
          <w:sz w:val="17"/>
          <w:szCs w:val="17"/>
        </w:rPr>
        <w:t>TRTrans</w:t>
      </w:r>
      <w:proofErr w:type="spellEnd"/>
      <w:r>
        <w:rPr>
          <w:rFonts w:ascii="Arial" w:hAnsi="Arial" w:cs="Arial"/>
          <w:color w:val="07286B"/>
          <w:sz w:val="17"/>
          <w:szCs w:val="17"/>
        </w:rPr>
        <w:t xml:space="preserve"> », société commune créée entre </w:t>
      </w:r>
      <w:proofErr w:type="spellStart"/>
      <w:r>
        <w:rPr>
          <w:rFonts w:ascii="Arial" w:hAnsi="Arial" w:cs="Arial"/>
          <w:color w:val="07286B"/>
          <w:sz w:val="17"/>
          <w:szCs w:val="17"/>
        </w:rPr>
        <w:t>Alstom</w:t>
      </w:r>
      <w:proofErr w:type="spellEnd"/>
      <w:r>
        <w:rPr>
          <w:rFonts w:ascii="Arial" w:hAnsi="Arial" w:cs="Arial"/>
          <w:color w:val="07286B"/>
          <w:sz w:val="17"/>
          <w:szCs w:val="17"/>
        </w:rPr>
        <w:t xml:space="preserve"> et TMH. Une deuxième joint-venture spécialisée dans la production des principaux composants ferroviaires verra le jour dans mes prochains mois. </w:t>
      </w:r>
    </w:p>
    <w:p w:rsidR="00E82C03" w:rsidRDefault="00E82C03" w:rsidP="00E82C03">
      <w:pPr>
        <w:pStyle w:val="NormalWeb"/>
        <w:rPr>
          <w:rFonts w:ascii="Arial" w:hAnsi="Arial" w:cs="Arial"/>
          <w:color w:val="07286B"/>
          <w:sz w:val="17"/>
          <w:szCs w:val="17"/>
        </w:rPr>
      </w:pPr>
      <w:r>
        <w:rPr>
          <w:rFonts w:ascii="Arial" w:hAnsi="Arial" w:cs="Arial"/>
          <w:color w:val="07286B"/>
          <w:sz w:val="17"/>
          <w:szCs w:val="17"/>
        </w:rPr>
        <w:t xml:space="preserve">En 2010, </w:t>
      </w:r>
      <w:proofErr w:type="spellStart"/>
      <w:r>
        <w:rPr>
          <w:rFonts w:ascii="Arial" w:hAnsi="Arial" w:cs="Arial"/>
          <w:color w:val="07286B"/>
          <w:sz w:val="17"/>
          <w:szCs w:val="17"/>
        </w:rPr>
        <w:t>Alstom</w:t>
      </w:r>
      <w:proofErr w:type="spellEnd"/>
      <w:r>
        <w:rPr>
          <w:rFonts w:ascii="Arial" w:hAnsi="Arial" w:cs="Arial"/>
          <w:color w:val="07286B"/>
          <w:sz w:val="17"/>
          <w:szCs w:val="17"/>
        </w:rPr>
        <w:t xml:space="preserve"> et TMH ont reçu une commande de 200 locomotives électriques passagers EP20 par les Chemins de fer russes (RZD) et une autre de 295 locomotives électriques de fret et passagers par l'opérateur des Chemins de fer kazakhs (KTZ). </w:t>
      </w:r>
    </w:p>
    <w:p w:rsidR="00E82C03" w:rsidRDefault="00E82C03" w:rsidP="00E82C03">
      <w:pPr>
        <w:pStyle w:val="NormalWeb"/>
        <w:rPr>
          <w:rFonts w:ascii="Arial" w:hAnsi="Arial" w:cs="Arial"/>
          <w:color w:val="07286B"/>
          <w:sz w:val="17"/>
          <w:szCs w:val="17"/>
        </w:rPr>
      </w:pPr>
      <w:r>
        <w:rPr>
          <w:rFonts w:ascii="Arial" w:hAnsi="Arial" w:cs="Arial"/>
          <w:b/>
          <w:bCs/>
          <w:color w:val="07286B"/>
          <w:sz w:val="17"/>
          <w:szCs w:val="17"/>
        </w:rPr>
        <w:t>A propos d'</w:t>
      </w:r>
      <w:proofErr w:type="spellStart"/>
      <w:r>
        <w:rPr>
          <w:rFonts w:ascii="Arial" w:hAnsi="Arial" w:cs="Arial"/>
          <w:b/>
          <w:bCs/>
          <w:color w:val="07286B"/>
          <w:sz w:val="17"/>
          <w:szCs w:val="17"/>
        </w:rPr>
        <w:t>Alstom</w:t>
      </w:r>
      <w:proofErr w:type="spellEnd"/>
      <w:r>
        <w:rPr>
          <w:rFonts w:ascii="Arial" w:hAnsi="Arial" w:cs="Arial"/>
          <w:b/>
          <w:bCs/>
          <w:color w:val="07286B"/>
          <w:sz w:val="17"/>
          <w:szCs w:val="17"/>
        </w:rPr>
        <w:t xml:space="preserve"> Transport</w:t>
      </w:r>
      <w:r>
        <w:rPr>
          <w:rFonts w:ascii="Arial" w:hAnsi="Arial" w:cs="Arial"/>
          <w:color w:val="07286B"/>
          <w:sz w:val="17"/>
          <w:szCs w:val="17"/>
        </w:rPr>
        <w:t xml:space="preserve"> </w:t>
      </w:r>
    </w:p>
    <w:p w:rsidR="00E82C03" w:rsidRDefault="00E82C03" w:rsidP="00E82C03">
      <w:pPr>
        <w:pStyle w:val="NormalWeb"/>
        <w:rPr>
          <w:rFonts w:ascii="Arial" w:hAnsi="Arial" w:cs="Arial"/>
          <w:color w:val="07286B"/>
          <w:sz w:val="17"/>
          <w:szCs w:val="17"/>
        </w:rPr>
      </w:pPr>
      <w:r>
        <w:rPr>
          <w:rFonts w:ascii="Arial" w:hAnsi="Arial" w:cs="Arial"/>
          <w:color w:val="07286B"/>
          <w:sz w:val="17"/>
          <w:szCs w:val="17"/>
        </w:rPr>
        <w:t xml:space="preserve">Dans une logique de mobilité durable, </w:t>
      </w:r>
      <w:proofErr w:type="spellStart"/>
      <w:r>
        <w:rPr>
          <w:rFonts w:ascii="Arial" w:hAnsi="Arial" w:cs="Arial"/>
          <w:color w:val="07286B"/>
          <w:sz w:val="17"/>
          <w:szCs w:val="17"/>
        </w:rPr>
        <w:t>Alstom</w:t>
      </w:r>
      <w:proofErr w:type="spellEnd"/>
      <w:r>
        <w:rPr>
          <w:rFonts w:ascii="Arial" w:hAnsi="Arial" w:cs="Arial"/>
          <w:color w:val="07286B"/>
          <w:sz w:val="17"/>
          <w:szCs w:val="17"/>
        </w:rPr>
        <w:t xml:space="preserve"> Transport développe et propose la gamme de systèmes, d'équipements et de services la plus complète du marché ferroviaire. </w:t>
      </w:r>
      <w:proofErr w:type="spellStart"/>
      <w:r>
        <w:rPr>
          <w:rFonts w:ascii="Arial" w:hAnsi="Arial" w:cs="Arial"/>
          <w:color w:val="07286B"/>
          <w:sz w:val="17"/>
          <w:szCs w:val="17"/>
        </w:rPr>
        <w:t>Alstom</w:t>
      </w:r>
      <w:proofErr w:type="spellEnd"/>
      <w:r>
        <w:rPr>
          <w:rFonts w:ascii="Arial" w:hAnsi="Arial" w:cs="Arial"/>
          <w:color w:val="07286B"/>
          <w:sz w:val="17"/>
          <w:szCs w:val="17"/>
        </w:rPr>
        <w:t xml:space="preserve"> Transport est capable de gérer l'ensemble d'un système de transport, comprenant le matériel roulant, la signalisation et les infrastructures, et d'offrir des solutions « clés en main ». Au cours de l'exercice 2010-2011, </w:t>
      </w:r>
      <w:proofErr w:type="spellStart"/>
      <w:r>
        <w:rPr>
          <w:rFonts w:ascii="Arial" w:hAnsi="Arial" w:cs="Arial"/>
          <w:color w:val="07286B"/>
          <w:sz w:val="17"/>
          <w:szCs w:val="17"/>
        </w:rPr>
        <w:t>Alstom</w:t>
      </w:r>
      <w:proofErr w:type="spellEnd"/>
      <w:r>
        <w:rPr>
          <w:rFonts w:ascii="Arial" w:hAnsi="Arial" w:cs="Arial"/>
          <w:color w:val="07286B"/>
          <w:sz w:val="17"/>
          <w:szCs w:val="17"/>
        </w:rPr>
        <w:t xml:space="preserve"> Transport a enregistré un chiffre d'affaires de 5,6 milliards d'euros. </w:t>
      </w:r>
      <w:proofErr w:type="spellStart"/>
      <w:r>
        <w:rPr>
          <w:rFonts w:ascii="Arial" w:hAnsi="Arial" w:cs="Arial"/>
          <w:color w:val="07286B"/>
          <w:sz w:val="17"/>
          <w:szCs w:val="17"/>
        </w:rPr>
        <w:t>Alstom</w:t>
      </w:r>
      <w:proofErr w:type="spellEnd"/>
      <w:r>
        <w:rPr>
          <w:rFonts w:ascii="Arial" w:hAnsi="Arial" w:cs="Arial"/>
          <w:color w:val="07286B"/>
          <w:sz w:val="17"/>
          <w:szCs w:val="17"/>
        </w:rPr>
        <w:t xml:space="preserve"> Transport est présent dans plus de 60 pays et emploie 26 000 salariés. </w:t>
      </w:r>
    </w:p>
    <w:p w:rsidR="00E82C03" w:rsidRDefault="00E82C03" w:rsidP="00E82C03">
      <w:pPr>
        <w:pStyle w:val="NormalWeb"/>
        <w:rPr>
          <w:rFonts w:ascii="Arial" w:hAnsi="Arial" w:cs="Arial"/>
          <w:color w:val="07286B"/>
          <w:sz w:val="17"/>
          <w:szCs w:val="17"/>
        </w:rPr>
      </w:pPr>
      <w:r>
        <w:rPr>
          <w:rFonts w:ascii="Arial" w:hAnsi="Arial" w:cs="Arial"/>
          <w:b/>
          <w:bCs/>
          <w:color w:val="07286B"/>
          <w:sz w:val="17"/>
          <w:szCs w:val="17"/>
        </w:rPr>
        <w:t xml:space="preserve">A propos de </w:t>
      </w:r>
      <w:proofErr w:type="spellStart"/>
      <w:r>
        <w:rPr>
          <w:rFonts w:ascii="Arial" w:hAnsi="Arial" w:cs="Arial"/>
          <w:b/>
          <w:bCs/>
          <w:color w:val="07286B"/>
          <w:sz w:val="17"/>
          <w:szCs w:val="17"/>
        </w:rPr>
        <w:t>Transmashholding</w:t>
      </w:r>
      <w:proofErr w:type="spellEnd"/>
      <w:r>
        <w:rPr>
          <w:rFonts w:ascii="Arial" w:hAnsi="Arial" w:cs="Arial"/>
          <w:color w:val="07286B"/>
          <w:sz w:val="17"/>
          <w:szCs w:val="17"/>
        </w:rPr>
        <w:t xml:space="preserve"> </w:t>
      </w:r>
    </w:p>
    <w:p w:rsidR="00E82C03" w:rsidRDefault="00E82C03" w:rsidP="00E82C03">
      <w:pPr>
        <w:pStyle w:val="NormalWeb"/>
        <w:rPr>
          <w:rFonts w:ascii="Arial" w:hAnsi="Arial" w:cs="Arial"/>
          <w:color w:val="07286B"/>
          <w:sz w:val="17"/>
          <w:szCs w:val="17"/>
        </w:rPr>
      </w:pPr>
      <w:proofErr w:type="spellStart"/>
      <w:r>
        <w:rPr>
          <w:rFonts w:ascii="Arial" w:hAnsi="Arial" w:cs="Arial"/>
          <w:color w:val="07286B"/>
          <w:sz w:val="17"/>
          <w:szCs w:val="17"/>
        </w:rPr>
        <w:t>Transmashholding</w:t>
      </w:r>
      <w:proofErr w:type="spellEnd"/>
      <w:r>
        <w:rPr>
          <w:rFonts w:ascii="Arial" w:hAnsi="Arial" w:cs="Arial"/>
          <w:color w:val="07286B"/>
          <w:sz w:val="17"/>
          <w:szCs w:val="17"/>
        </w:rPr>
        <w:t xml:space="preserve"> est le principal fabricant de matériel ferroviaire en Russie. La société fabrique notamment des locomotives électriques et diesel, des convertisseurs, des wagons de fret et des voitures passagers, des voitures de trains suburbains et de métros, des moteurs diesel pour locomotives et des génératrices diesel. En 2010, TMH a enregistré un chiffre d'affaires de 2,2 milliards d'euros. La société emploie plus de 54 000 salariés. </w:t>
      </w:r>
    </w:p>
    <w:p w:rsidR="00E82C03" w:rsidRDefault="00E82C03" w:rsidP="00E82C03">
      <w:pPr>
        <w:pStyle w:val="NormalWeb"/>
        <w:rPr>
          <w:rFonts w:ascii="Arial" w:hAnsi="Arial" w:cs="Arial"/>
          <w:color w:val="07286B"/>
          <w:sz w:val="17"/>
          <w:szCs w:val="17"/>
        </w:rPr>
      </w:pPr>
      <w:r>
        <w:rPr>
          <w:rFonts w:ascii="Arial" w:hAnsi="Arial" w:cs="Arial"/>
          <w:color w:val="07286B"/>
          <w:sz w:val="17"/>
          <w:szCs w:val="17"/>
          <w:vertAlign w:val="superscript"/>
        </w:rPr>
        <w:t>1</w:t>
      </w:r>
      <w:r>
        <w:rPr>
          <w:rFonts w:ascii="Arial" w:hAnsi="Arial" w:cs="Arial"/>
          <w:color w:val="07286B"/>
          <w:sz w:val="17"/>
          <w:szCs w:val="17"/>
        </w:rPr>
        <w:t xml:space="preserve"> Le marché ferroviaire du « 1520 » désigne les pays de la CEI où l'écartement des voies est de 1520 mm, par opposition à l'écartement standard UIC de 1435 mm. Cette zone regroupe principalement la Russie et les États issus de l'ex-URSS, les pays baltes, la Mongolie et la Finlande. </w:t>
      </w:r>
    </w:p>
    <w:p w:rsidR="00E82C03" w:rsidRDefault="00E82C03" w:rsidP="00E82C03">
      <w:pPr>
        <w:pStyle w:val="NormalWeb"/>
        <w:rPr>
          <w:rFonts w:ascii="Arial" w:hAnsi="Arial" w:cs="Arial"/>
          <w:color w:val="07286B"/>
          <w:sz w:val="17"/>
          <w:szCs w:val="17"/>
        </w:rPr>
      </w:pPr>
      <w:r>
        <w:rPr>
          <w:rFonts w:ascii="Arial" w:hAnsi="Arial" w:cs="Arial"/>
          <w:noProof/>
          <w:color w:val="07286B"/>
          <w:sz w:val="17"/>
          <w:szCs w:val="17"/>
        </w:rPr>
        <w:drawing>
          <wp:inline distT="0" distB="0" distL="0" distR="0">
            <wp:extent cx="9525" cy="9525"/>
            <wp:effectExtent l="0" t="0" r="0" b="0"/>
            <wp:docPr id="1" name="Image 1" descr="http://cts.businesswire.com/ct/CT?id=bwnews&amp;sty=20110527005316r1&amp;sid=8329&amp;distro=f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s.businesswire.com/ct/CT?id=bwnews&amp;sty=20110527005316r1&amp;sid=8329&amp;distro=ftp"/>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82C03" w:rsidRDefault="00E82C03" w:rsidP="00E82C03">
      <w:pPr>
        <w:pStyle w:val="NormalWeb"/>
        <w:spacing w:after="240" w:afterAutospacing="0"/>
        <w:rPr>
          <w:rFonts w:ascii="Arial" w:hAnsi="Arial" w:cs="Arial"/>
          <w:color w:val="07286B"/>
          <w:sz w:val="17"/>
          <w:szCs w:val="17"/>
        </w:rPr>
      </w:pPr>
      <w:proofErr w:type="spellStart"/>
      <w:r>
        <w:rPr>
          <w:rFonts w:ascii="Arial" w:hAnsi="Arial" w:cs="Arial"/>
          <w:b/>
          <w:bCs/>
          <w:color w:val="07286B"/>
          <w:sz w:val="17"/>
          <w:szCs w:val="17"/>
        </w:rPr>
        <w:t>Alstom</w:t>
      </w:r>
      <w:proofErr w:type="spellEnd"/>
      <w:r>
        <w:rPr>
          <w:rFonts w:ascii="Arial" w:hAnsi="Arial" w:cs="Arial"/>
          <w:color w:val="07286B"/>
          <w:sz w:val="17"/>
          <w:szCs w:val="17"/>
        </w:rPr>
        <w:br/>
      </w:r>
      <w:r>
        <w:rPr>
          <w:rFonts w:ascii="Arial" w:hAnsi="Arial" w:cs="Arial"/>
          <w:color w:val="07286B"/>
          <w:sz w:val="17"/>
          <w:szCs w:val="17"/>
        </w:rPr>
        <w:br/>
      </w:r>
      <w:r>
        <w:rPr>
          <w:rFonts w:ascii="Arial" w:hAnsi="Arial" w:cs="Arial"/>
          <w:b/>
          <w:bCs/>
          <w:color w:val="07286B"/>
          <w:sz w:val="17"/>
          <w:szCs w:val="17"/>
        </w:rPr>
        <w:t xml:space="preserve">Presse </w:t>
      </w:r>
      <w:proofErr w:type="gramStart"/>
      <w:r>
        <w:rPr>
          <w:rFonts w:ascii="Arial" w:hAnsi="Arial" w:cs="Arial"/>
          <w:b/>
          <w:bCs/>
          <w:color w:val="07286B"/>
          <w:sz w:val="17"/>
          <w:szCs w:val="17"/>
        </w:rPr>
        <w:t>:</w:t>
      </w:r>
      <w:proofErr w:type="gramEnd"/>
      <w:r>
        <w:rPr>
          <w:rFonts w:ascii="Arial" w:hAnsi="Arial" w:cs="Arial"/>
          <w:color w:val="07286B"/>
          <w:sz w:val="17"/>
          <w:szCs w:val="17"/>
        </w:rPr>
        <w:br/>
      </w:r>
      <w:r>
        <w:rPr>
          <w:rFonts w:ascii="Arial" w:hAnsi="Arial" w:cs="Arial"/>
          <w:color w:val="07286B"/>
          <w:sz w:val="17"/>
          <w:szCs w:val="17"/>
        </w:rPr>
        <w:br/>
        <w:t xml:space="preserve">Philippe </w:t>
      </w:r>
      <w:proofErr w:type="spellStart"/>
      <w:r>
        <w:rPr>
          <w:rFonts w:ascii="Arial" w:hAnsi="Arial" w:cs="Arial"/>
          <w:color w:val="07286B"/>
          <w:sz w:val="17"/>
          <w:szCs w:val="17"/>
        </w:rPr>
        <w:t>Kasse</w:t>
      </w:r>
      <w:proofErr w:type="spellEnd"/>
      <w:r>
        <w:rPr>
          <w:rFonts w:ascii="Arial" w:hAnsi="Arial" w:cs="Arial"/>
          <w:color w:val="07286B"/>
          <w:sz w:val="17"/>
          <w:szCs w:val="17"/>
        </w:rPr>
        <w:t xml:space="preserve">, Stéphane </w:t>
      </w:r>
      <w:proofErr w:type="spellStart"/>
      <w:r>
        <w:rPr>
          <w:rFonts w:ascii="Arial" w:hAnsi="Arial" w:cs="Arial"/>
          <w:color w:val="07286B"/>
          <w:sz w:val="17"/>
          <w:szCs w:val="17"/>
        </w:rPr>
        <w:t>Farhi</w:t>
      </w:r>
      <w:proofErr w:type="spellEnd"/>
      <w:r>
        <w:rPr>
          <w:rFonts w:ascii="Arial" w:hAnsi="Arial" w:cs="Arial"/>
          <w:color w:val="07286B"/>
          <w:sz w:val="17"/>
          <w:szCs w:val="17"/>
        </w:rPr>
        <w:t xml:space="preserve"> (</w:t>
      </w:r>
      <w:proofErr w:type="spellStart"/>
      <w:r>
        <w:rPr>
          <w:rFonts w:ascii="Arial" w:hAnsi="Arial" w:cs="Arial"/>
          <w:color w:val="07286B"/>
          <w:sz w:val="17"/>
          <w:szCs w:val="17"/>
        </w:rPr>
        <w:t>Corporate</w:t>
      </w:r>
      <w:proofErr w:type="spellEnd"/>
      <w:r>
        <w:rPr>
          <w:rFonts w:ascii="Arial" w:hAnsi="Arial" w:cs="Arial"/>
          <w:color w:val="07286B"/>
          <w:sz w:val="17"/>
          <w:szCs w:val="17"/>
        </w:rPr>
        <w:t>)</w:t>
      </w:r>
    </w:p>
    <w:p w:rsidR="0007445D" w:rsidRDefault="0007445D"/>
    <w:sectPr w:rsidR="0007445D" w:rsidSect="000744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2C03"/>
    <w:rsid w:val="0007445D"/>
    <w:rsid w:val="004477EB"/>
    <w:rsid w:val="00613209"/>
    <w:rsid w:val="00BA3031"/>
    <w:rsid w:val="00E82C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walignc">
    <w:name w:val="bwalignc"/>
    <w:basedOn w:val="Normal"/>
    <w:rsid w:val="00E82C03"/>
    <w:pPr>
      <w:spacing w:before="100" w:beforeAutospacing="1" w:after="100" w:afterAutospacing="1" w:line="240" w:lineRule="auto"/>
    </w:pPr>
    <w:rPr>
      <w:rFonts w:ascii="Times New Roman" w:eastAsia="Times New Roman" w:hAnsi="Times New Roman" w:cs="Times New Roman"/>
      <w:szCs w:val="24"/>
      <w:lang w:eastAsia="fr-FR"/>
    </w:rPr>
  </w:style>
  <w:style w:type="paragraph" w:styleId="NormalWeb">
    <w:name w:val="Normal (Web)"/>
    <w:basedOn w:val="Normal"/>
    <w:uiPriority w:val="99"/>
    <w:semiHidden/>
    <w:unhideWhenUsed/>
    <w:rsid w:val="00E82C03"/>
    <w:pPr>
      <w:spacing w:before="100" w:beforeAutospacing="1" w:after="100" w:afterAutospacing="1" w:line="240" w:lineRule="auto"/>
    </w:pPr>
    <w:rPr>
      <w:rFonts w:ascii="Times New Roman" w:eastAsia="Times New Roman" w:hAnsi="Times New Roman" w:cs="Times New Roman"/>
      <w:szCs w:val="24"/>
      <w:lang w:eastAsia="fr-FR"/>
    </w:rPr>
  </w:style>
  <w:style w:type="paragraph" w:styleId="Textedebulles">
    <w:name w:val="Balloon Text"/>
    <w:basedOn w:val="Normal"/>
    <w:link w:val="TextedebullesCar"/>
    <w:uiPriority w:val="99"/>
    <w:semiHidden/>
    <w:unhideWhenUsed/>
    <w:rsid w:val="00E82C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2C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612</Words>
  <Characters>3371</Characters>
  <Application>Microsoft Office Word</Application>
  <DocSecurity>0</DocSecurity>
  <Lines>28</Lines>
  <Paragraphs>7</Paragraphs>
  <ScaleCrop>false</ScaleCrop>
  <Company>XPSP2</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2011-05-27T16:14:00Z</dcterms:created>
  <dcterms:modified xsi:type="dcterms:W3CDTF">2011-05-27T16:16:00Z</dcterms:modified>
</cp:coreProperties>
</file>